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FB" w:rsidRDefault="000B03FB" w:rsidP="000B03FB">
      <w:pPr>
        <w:widowControl w:val="0"/>
        <w:jc w:val="center"/>
        <w:rPr>
          <w:rFonts w:ascii="Garamond" w:hAnsi="Garamond"/>
          <w:color w:val="FFFFFF"/>
          <w:sz w:val="36"/>
          <w:szCs w:val="36"/>
        </w:rPr>
      </w:pPr>
      <w:r>
        <w:rPr>
          <w:rFonts w:ascii="Garamond" w:hAnsi="Garamond"/>
          <w:b/>
          <w:bCs/>
          <w:color w:val="FFFFFF"/>
          <w:sz w:val="36"/>
          <w:szCs w:val="36"/>
        </w:rPr>
        <w:t>2014 FULBRIGHT JU</w:t>
      </w:r>
    </w:p>
    <w:p w:rsidR="000B03FB" w:rsidRDefault="000B03FB" w:rsidP="000B03FB">
      <w:pPr>
        <w:widowControl w:val="0"/>
        <w:jc w:val="center"/>
      </w:pPr>
      <w:r>
        <w:rPr>
          <w:noProof/>
        </w:rPr>
        <w:drawing>
          <wp:inline distT="0" distB="0" distL="0" distR="0">
            <wp:extent cx="2128292" cy="666639"/>
            <wp:effectExtent l="19050" t="0" r="5308" b="0"/>
            <wp:docPr id="1" name="Picture 1" descr="\\Kampalafs01\culture\Fulbright\fulbright 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palafs01\culture\Fulbright\fulbright logo 2.gif"/>
                    <pic:cNvPicPr>
                      <a:picLocks noChangeAspect="1" noChangeArrowheads="1"/>
                    </pic:cNvPicPr>
                  </pic:nvPicPr>
                  <pic:blipFill>
                    <a:blip r:embed="rId5" cstate="print"/>
                    <a:srcRect/>
                    <a:stretch>
                      <a:fillRect/>
                    </a:stretch>
                  </pic:blipFill>
                  <pic:spPr bwMode="auto">
                    <a:xfrm>
                      <a:off x="0" y="0"/>
                      <a:ext cx="2149847" cy="673391"/>
                    </a:xfrm>
                    <a:prstGeom prst="rect">
                      <a:avLst/>
                    </a:prstGeom>
                    <a:noFill/>
                    <a:ln w="9525">
                      <a:noFill/>
                      <a:miter lim="800000"/>
                      <a:headEnd/>
                      <a:tailEnd/>
                    </a:ln>
                  </pic:spPr>
                </pic:pic>
              </a:graphicData>
            </a:graphic>
          </wp:inline>
        </w:drawing>
      </w:r>
    </w:p>
    <w:p w:rsidR="000B03FB" w:rsidRDefault="000B03FB" w:rsidP="000B03FB">
      <w:pPr>
        <w:widowControl w:val="0"/>
      </w:pPr>
    </w:p>
    <w:p w:rsidR="000B03FB" w:rsidRDefault="000B03FB" w:rsidP="000B03FB">
      <w:pPr>
        <w:widowControl w:val="0"/>
      </w:pPr>
    </w:p>
    <w:p w:rsidR="004F322F" w:rsidRDefault="004F322F" w:rsidP="00C8118E"/>
    <w:p w:rsidR="000B03FB" w:rsidRPr="000B03FB" w:rsidRDefault="006F4EA7" w:rsidP="000B03FB">
      <w:pPr>
        <w:jc w:val="center"/>
        <w:rPr>
          <w:b/>
          <w:sz w:val="32"/>
          <w:szCs w:val="32"/>
        </w:rPr>
      </w:pPr>
      <w:r>
        <w:rPr>
          <w:b/>
          <w:sz w:val="32"/>
          <w:szCs w:val="32"/>
        </w:rPr>
        <w:t>2015</w:t>
      </w:r>
      <w:r w:rsidR="000B03FB" w:rsidRPr="000B03FB">
        <w:rPr>
          <w:b/>
          <w:sz w:val="32"/>
          <w:szCs w:val="32"/>
        </w:rPr>
        <w:t xml:space="preserve"> JUNIOR STAFF DEVELOPMENT PROGRAM</w:t>
      </w:r>
    </w:p>
    <w:p w:rsidR="000B03FB" w:rsidRDefault="000B03FB" w:rsidP="000B03FB">
      <w:pPr>
        <w:widowControl w:val="0"/>
        <w:rPr>
          <w:b/>
          <w:bCs/>
        </w:rPr>
      </w:pPr>
    </w:p>
    <w:p w:rsidR="000B03FB" w:rsidRDefault="000B03FB" w:rsidP="000B03FB">
      <w:pPr>
        <w:widowControl w:val="0"/>
        <w:rPr>
          <w:b/>
          <w:bCs/>
        </w:rPr>
      </w:pPr>
      <w:r>
        <w:rPr>
          <w:b/>
          <w:bCs/>
        </w:rPr>
        <w:t>Call for Applications</w:t>
      </w:r>
    </w:p>
    <w:p w:rsidR="000B03FB" w:rsidRDefault="000B03FB" w:rsidP="000B03FB">
      <w:pPr>
        <w:widowControl w:val="0"/>
      </w:pPr>
      <w:r>
        <w:t>The United States Mission is now acc</w:t>
      </w:r>
      <w:r w:rsidR="006F4EA7">
        <w:t>epting applications for the 2015</w:t>
      </w:r>
      <w:r>
        <w:t xml:space="preserve"> Fulbright Junior Staff Development Program (Foreign Student Program).  This program will award grants to Ugandan university lecturers to pursue an advanced degree, non-degree, or research program in the United States.   The Fulbright Junior Staff Development Program is designed primarily to strengthen African universities through higher degree training.  Although core exchanges are with universities, candidates who are affiliated with other educational, cultural, or professional institutions may apply.</w:t>
      </w:r>
    </w:p>
    <w:p w:rsidR="000B03FB" w:rsidRDefault="000B03FB" w:rsidP="000B03FB">
      <w:pPr>
        <w:widowControl w:val="0"/>
        <w:jc w:val="both"/>
      </w:pPr>
      <w:r>
        <w:rPr>
          <w:b/>
          <w:bCs/>
        </w:rPr>
        <w:t xml:space="preserve">Eligibility Requirements </w:t>
      </w:r>
    </w:p>
    <w:p w:rsidR="000B03FB" w:rsidRDefault="000B03FB" w:rsidP="000B03FB">
      <w:pPr>
        <w:widowControl w:val="0"/>
      </w:pPr>
      <w:r>
        <w:t xml:space="preserve">Successful applicants for the Fulbright Junior Staff Development Program must meet </w:t>
      </w:r>
      <w:r>
        <w:rPr>
          <w:u w:val="single"/>
        </w:rPr>
        <w:t>all</w:t>
      </w:r>
      <w:r>
        <w:t xml:space="preserve"> of the following criteria:</w:t>
      </w:r>
    </w:p>
    <w:p w:rsidR="000B03FB" w:rsidRDefault="000B03FB" w:rsidP="000B03FB">
      <w:pPr>
        <w:widowControl w:val="0"/>
      </w:pPr>
      <w:r>
        <w:t>--Be citizens of Uganda,</w:t>
      </w:r>
    </w:p>
    <w:p w:rsidR="000B03FB" w:rsidRDefault="000B03FB" w:rsidP="000B03FB">
      <w:pPr>
        <w:widowControl w:val="0"/>
      </w:pPr>
      <w:r>
        <w:t xml:space="preserve">--Have a minimum of three (3) years of teaching experience at a university or comparable </w:t>
      </w:r>
    </w:p>
    <w:p w:rsidR="000B03FB" w:rsidRDefault="000B03FB" w:rsidP="000B03FB">
      <w:pPr>
        <w:widowControl w:val="0"/>
      </w:pPr>
      <w:r>
        <w:t xml:space="preserve">   </w:t>
      </w:r>
      <w:proofErr w:type="gramStart"/>
      <w:r>
        <w:t>institution</w:t>
      </w:r>
      <w:proofErr w:type="gramEnd"/>
      <w:r>
        <w:t xml:space="preserve"> of higher learning and be committed to work at an educational institution in </w:t>
      </w:r>
    </w:p>
    <w:p w:rsidR="000B03FB" w:rsidRDefault="000B03FB" w:rsidP="000B03FB">
      <w:pPr>
        <w:widowControl w:val="0"/>
      </w:pPr>
      <w:r>
        <w:t xml:space="preserve">   Uganda upon completion of the designated program,</w:t>
      </w:r>
    </w:p>
    <w:p w:rsidR="000B03FB" w:rsidRDefault="000B03FB" w:rsidP="000B03FB">
      <w:pPr>
        <w:widowControl w:val="0"/>
      </w:pPr>
      <w:r>
        <w:t>--Possess at least a Bachelor's Degree,</w:t>
      </w:r>
    </w:p>
    <w:p w:rsidR="000B03FB" w:rsidRDefault="000B03FB" w:rsidP="000B03FB">
      <w:pPr>
        <w:widowControl w:val="0"/>
      </w:pPr>
      <w:r>
        <w:t>--Be fluent in English,</w:t>
      </w:r>
    </w:p>
    <w:p w:rsidR="000B03FB" w:rsidRDefault="000B03FB" w:rsidP="000B03FB">
      <w:pPr>
        <w:widowControl w:val="0"/>
      </w:pPr>
      <w:r>
        <w:t>--Have outstanding academic records, references and preparation in their chosen field,</w:t>
      </w:r>
    </w:p>
    <w:p w:rsidR="000B03FB" w:rsidRDefault="000B03FB" w:rsidP="000B03FB">
      <w:pPr>
        <w:widowControl w:val="0"/>
      </w:pPr>
      <w:r>
        <w:t>--Have satisfactory required test scores (GRE, TOEFL, GMAT etc.), and</w:t>
      </w:r>
    </w:p>
    <w:p w:rsidR="000B03FB" w:rsidRDefault="000B03FB" w:rsidP="000B03FB">
      <w:pPr>
        <w:widowControl w:val="0"/>
      </w:pPr>
      <w:r>
        <w:t xml:space="preserve">--Have high motivation and a serious commitment to completing the program within a </w:t>
      </w:r>
    </w:p>
    <w:p w:rsidR="000B03FB" w:rsidRDefault="000B03FB" w:rsidP="000B03FB">
      <w:pPr>
        <w:widowControl w:val="0"/>
      </w:pPr>
      <w:r>
        <w:t xml:space="preserve">   </w:t>
      </w:r>
      <w:proofErr w:type="gramStart"/>
      <w:r>
        <w:t>specific</w:t>
      </w:r>
      <w:proofErr w:type="gramEnd"/>
      <w:r>
        <w:t xml:space="preserve"> time-frame and returning home immediately after the approved program.</w:t>
      </w:r>
    </w:p>
    <w:p w:rsidR="000B03FB" w:rsidRDefault="000B03FB" w:rsidP="000B03FB">
      <w:pPr>
        <w:widowControl w:val="0"/>
      </w:pPr>
      <w:r>
        <w:t xml:space="preserve">--Applications must detail the applicant’s </w:t>
      </w:r>
      <w:r>
        <w:rPr>
          <w:u w:val="single"/>
        </w:rPr>
        <w:t>specific</w:t>
      </w:r>
      <w:r>
        <w:t xml:space="preserve"> area of intended academic emphasis</w:t>
      </w:r>
    </w:p>
    <w:p w:rsidR="000B03FB" w:rsidRDefault="000B03FB" w:rsidP="000B03FB">
      <w:pPr>
        <w:widowControl w:val="0"/>
      </w:pPr>
      <w:r>
        <w:t xml:space="preserve">   </w:t>
      </w:r>
      <w:proofErr w:type="gramStart"/>
      <w:r>
        <w:t>within</w:t>
      </w:r>
      <w:proofErr w:type="gramEnd"/>
      <w:r>
        <w:t xml:space="preserve"> the broader discipline.</w:t>
      </w:r>
    </w:p>
    <w:p w:rsidR="000B03FB" w:rsidRDefault="000B03FB" w:rsidP="000B03FB">
      <w:pPr>
        <w:widowControl w:val="0"/>
      </w:pPr>
      <w:r>
        <w:t xml:space="preserve">--Applicants seeking to pursue a Ph.D. must detail their intended research area and be </w:t>
      </w:r>
    </w:p>
    <w:p w:rsidR="000B03FB" w:rsidRDefault="000B03FB" w:rsidP="000B03FB">
      <w:pPr>
        <w:widowControl w:val="0"/>
      </w:pPr>
      <w:r>
        <w:t xml:space="preserve">   </w:t>
      </w:r>
      <w:proofErr w:type="gramStart"/>
      <w:r>
        <w:t>prepared</w:t>
      </w:r>
      <w:proofErr w:type="gramEnd"/>
      <w:r>
        <w:t xml:space="preserve"> to submit a writing sample.</w:t>
      </w:r>
    </w:p>
    <w:p w:rsidR="000B03FB" w:rsidRDefault="000B03FB" w:rsidP="000B03FB">
      <w:pPr>
        <w:widowControl w:val="0"/>
      </w:pPr>
      <w:r>
        <w:t> </w:t>
      </w:r>
    </w:p>
    <w:p w:rsidR="000B03FB" w:rsidRDefault="000B03FB" w:rsidP="000B03FB">
      <w:pPr>
        <w:widowControl w:val="0"/>
        <w:ind w:right="-432"/>
        <w:rPr>
          <w:b/>
          <w:bCs/>
        </w:rPr>
      </w:pPr>
      <w:r>
        <w:rPr>
          <w:b/>
          <w:bCs/>
        </w:rPr>
        <w:t>Application/Selection Process</w:t>
      </w:r>
    </w:p>
    <w:p w:rsidR="000B03FB" w:rsidRDefault="000B03FB" w:rsidP="000B03FB">
      <w:pPr>
        <w:widowControl w:val="0"/>
        <w:ind w:right="-432"/>
      </w:pPr>
      <w:r>
        <w:t>All applications must be submitted using the on-line application forms at</w:t>
      </w:r>
    </w:p>
    <w:p w:rsidR="000B03FB" w:rsidRDefault="00F21424" w:rsidP="000B03FB">
      <w:pPr>
        <w:widowControl w:val="0"/>
        <w:ind w:right="-432"/>
      </w:pPr>
      <w:hyperlink r:id="rId6" w:history="1">
        <w:r w:rsidR="000B03FB">
          <w:rPr>
            <w:rStyle w:val="Hyperlink"/>
            <w:rFonts w:ascii="Courier New" w:hAnsi="Courier New" w:cs="Courier New"/>
          </w:rPr>
          <w:t>http://foreign.fulbrightonline.org/fulbrightpage.html</w:t>
        </w:r>
      </w:hyperlink>
      <w:r w:rsidR="000B03FB">
        <w:t xml:space="preserve">     </w:t>
      </w:r>
    </w:p>
    <w:p w:rsidR="000B03FB" w:rsidRDefault="000B03FB" w:rsidP="000B03FB">
      <w:pPr>
        <w:widowControl w:val="0"/>
      </w:pPr>
      <w:r>
        <w:rPr>
          <w:b/>
          <w:bCs/>
        </w:rPr>
        <w:t xml:space="preserve">Copies of certificates, transcripts and letters of </w:t>
      </w:r>
      <w:proofErr w:type="gramStart"/>
      <w:r>
        <w:rPr>
          <w:b/>
          <w:bCs/>
        </w:rPr>
        <w:t>recommendation  should</w:t>
      </w:r>
      <w:proofErr w:type="gramEnd"/>
      <w:r>
        <w:rPr>
          <w:b/>
          <w:bCs/>
        </w:rPr>
        <w:t xml:space="preserve"> be uploaded onto each applicants online application</w:t>
      </w:r>
      <w:r>
        <w:t>. Only final nominees will be required to take the TOEFL and GRE tests after screening and interviews.  We do not require test scores at this initial application stage.  Applicants are free to attached score reports is they have them.</w:t>
      </w:r>
    </w:p>
    <w:p w:rsidR="000B03FB" w:rsidRDefault="000B03FB" w:rsidP="000B03FB">
      <w:pPr>
        <w:widowControl w:val="0"/>
      </w:pPr>
      <w:r>
        <w:t> </w:t>
      </w:r>
    </w:p>
    <w:p w:rsidR="000B03FB" w:rsidRDefault="000B03FB" w:rsidP="000B03FB">
      <w:pPr>
        <w:widowControl w:val="0"/>
      </w:pPr>
      <w:r>
        <w:t xml:space="preserve">Applications must be submitted no later than </w:t>
      </w:r>
      <w:r w:rsidR="006F4EA7" w:rsidRPr="006F4EA7">
        <w:rPr>
          <w:b/>
        </w:rPr>
        <w:t>April 10, 2014</w:t>
      </w:r>
      <w:r w:rsidRPr="006F4EA7">
        <w:rPr>
          <w:b/>
        </w:rPr>
        <w:t>.</w:t>
      </w:r>
      <w:r>
        <w:t xml:space="preserve">  All applications are reviewed by a local selection panel.  Final nominations are reviewed in the United States by independent review committees.  Final selection of awardees is made by the J. William Fulbright Foreign Scholarship Board.  While applicants can specify where they would like to study in the U.S., ultimate institutional placement for successful candidates will be made by the Institute </w:t>
      </w:r>
      <w:proofErr w:type="gramStart"/>
      <w:r>
        <w:t>of  International</w:t>
      </w:r>
      <w:proofErr w:type="gramEnd"/>
      <w:r>
        <w:t xml:space="preserve"> Education (IIE).  Awards and university placement </w:t>
      </w:r>
      <w:r w:rsidR="00F21424">
        <w:t xml:space="preserve">will be announced in </w:t>
      </w:r>
      <w:proofErr w:type="gramStart"/>
      <w:r w:rsidR="00F21424">
        <w:t>Spring</w:t>
      </w:r>
      <w:proofErr w:type="gramEnd"/>
      <w:r w:rsidR="00F21424">
        <w:t xml:space="preserve"> 2015</w:t>
      </w:r>
      <w:r>
        <w:t xml:space="preserve"> for p</w:t>
      </w:r>
      <w:r w:rsidR="00F21424">
        <w:t>rograms beginning in Autumn 2015</w:t>
      </w:r>
      <w:bookmarkStart w:id="0" w:name="_GoBack"/>
      <w:bookmarkEnd w:id="0"/>
      <w:r>
        <w:t>.   Only short-listed candidates will be contacted after review of the applications.</w:t>
      </w:r>
    </w:p>
    <w:p w:rsidR="000B03FB" w:rsidRDefault="000B03FB" w:rsidP="000B03FB">
      <w:pPr>
        <w:widowControl w:val="0"/>
      </w:pPr>
      <w:r>
        <w:t> </w:t>
      </w:r>
    </w:p>
    <w:p w:rsidR="009A6A3F" w:rsidRDefault="009A6A3F" w:rsidP="000B03FB">
      <w:pPr>
        <w:widowControl w:val="0"/>
      </w:pPr>
    </w:p>
    <w:p w:rsidR="009A6A3F" w:rsidRDefault="009A6A3F" w:rsidP="000B03FB">
      <w:pPr>
        <w:widowControl w:val="0"/>
      </w:pPr>
    </w:p>
    <w:p w:rsidR="009A6A3F" w:rsidRDefault="009A6A3F" w:rsidP="000B03FB">
      <w:pPr>
        <w:widowControl w:val="0"/>
      </w:pPr>
    </w:p>
    <w:p w:rsidR="009A6A3F" w:rsidRDefault="009A6A3F" w:rsidP="000B03FB">
      <w:pPr>
        <w:widowControl w:val="0"/>
      </w:pPr>
    </w:p>
    <w:p w:rsidR="000B03FB" w:rsidRDefault="009A6A3F" w:rsidP="000B03FB">
      <w:pPr>
        <w:widowControl w:val="0"/>
        <w:spacing w:line="360" w:lineRule="auto"/>
        <w:ind w:right="-432"/>
        <w:rPr>
          <w:b/>
          <w:bCs/>
        </w:rPr>
      </w:pPr>
      <w:r>
        <w:rPr>
          <w:b/>
          <w:bCs/>
        </w:rPr>
        <w:lastRenderedPageBreak/>
        <w:t>G</w:t>
      </w:r>
      <w:r w:rsidR="000B03FB">
        <w:rPr>
          <w:b/>
          <w:bCs/>
        </w:rPr>
        <w:t>rant Provisions</w:t>
      </w:r>
    </w:p>
    <w:p w:rsidR="000B03FB" w:rsidRDefault="000B03FB" w:rsidP="000B03FB">
      <w:pPr>
        <w:widowControl w:val="0"/>
      </w:pPr>
      <w:r>
        <w:t xml:space="preserve">The Fulbright Junior Staff Development Program provides:  </w:t>
      </w:r>
    </w:p>
    <w:p w:rsidR="000B03FB" w:rsidRDefault="000B03FB" w:rsidP="000B03FB">
      <w:pPr>
        <w:widowControl w:val="0"/>
        <w:ind w:left="360" w:hanging="360"/>
      </w:pPr>
      <w:r>
        <w:rPr>
          <w:rFonts w:ascii="Symbol" w:hAnsi="Symbol"/>
        </w:rPr>
        <w:t></w:t>
      </w:r>
      <w:r>
        <w:t xml:space="preserve"> Round-trip economy international travel and excess-baggage allowance.  </w:t>
      </w:r>
    </w:p>
    <w:p w:rsidR="000B03FB" w:rsidRDefault="000B03FB" w:rsidP="000B03FB">
      <w:pPr>
        <w:widowControl w:val="0"/>
        <w:ind w:left="360" w:hanging="360"/>
      </w:pPr>
      <w:r>
        <w:rPr>
          <w:rFonts w:ascii="Symbol" w:hAnsi="Symbol"/>
        </w:rPr>
        <w:t></w:t>
      </w:r>
      <w:r>
        <w:t> An allowance for settling in.</w:t>
      </w:r>
    </w:p>
    <w:p w:rsidR="000B03FB" w:rsidRDefault="000B03FB" w:rsidP="000B03FB">
      <w:pPr>
        <w:widowControl w:val="0"/>
        <w:ind w:left="360" w:hanging="360"/>
      </w:pPr>
      <w:r>
        <w:rPr>
          <w:rFonts w:ascii="Symbol" w:hAnsi="Symbol"/>
        </w:rPr>
        <w:t></w:t>
      </w:r>
      <w:r>
        <w:t> A pre-academic orientation program.</w:t>
      </w:r>
    </w:p>
    <w:p w:rsidR="000B03FB" w:rsidRDefault="000B03FB" w:rsidP="000B03FB">
      <w:pPr>
        <w:widowControl w:val="0"/>
        <w:ind w:left="360" w:hanging="360"/>
      </w:pPr>
      <w:r>
        <w:rPr>
          <w:rFonts w:ascii="Symbol" w:hAnsi="Symbol"/>
        </w:rPr>
        <w:t></w:t>
      </w:r>
      <w:r>
        <w:t xml:space="preserve"> A monthly maintenance allowance and funding for books </w:t>
      </w:r>
    </w:p>
    <w:p w:rsidR="000B03FB" w:rsidRDefault="000B03FB" w:rsidP="000B03FB">
      <w:pPr>
        <w:widowControl w:val="0"/>
        <w:ind w:left="360" w:hanging="360"/>
      </w:pPr>
      <w:r>
        <w:rPr>
          <w:rFonts w:ascii="Symbol" w:hAnsi="Symbol"/>
        </w:rPr>
        <w:t></w:t>
      </w:r>
      <w:r>
        <w:t> Tuition and university fees.</w:t>
      </w:r>
    </w:p>
    <w:p w:rsidR="000B03FB" w:rsidRDefault="000B03FB" w:rsidP="000B03FB">
      <w:pPr>
        <w:widowControl w:val="0"/>
        <w:ind w:left="360" w:hanging="360"/>
      </w:pPr>
      <w:r>
        <w:rPr>
          <w:rFonts w:ascii="Symbol" w:hAnsi="Symbol"/>
        </w:rPr>
        <w:t></w:t>
      </w:r>
      <w:r>
        <w:t> Limited accident and sickness insurance.</w:t>
      </w:r>
    </w:p>
    <w:p w:rsidR="000B03FB" w:rsidRDefault="000B03FB" w:rsidP="000B03FB">
      <w:pPr>
        <w:widowControl w:val="0"/>
        <w:tabs>
          <w:tab w:val="left" w:pos="-31680"/>
        </w:tabs>
        <w:spacing w:line="360" w:lineRule="auto"/>
        <w:ind w:left="360" w:right="-432" w:hanging="360"/>
        <w:rPr>
          <w:sz w:val="18"/>
          <w:szCs w:val="18"/>
        </w:rPr>
      </w:pPr>
      <w:r>
        <w:rPr>
          <w:rFonts w:ascii="Symbol" w:hAnsi="Symbol"/>
        </w:rPr>
        <w:t></w:t>
      </w:r>
      <w:r>
        <w:t> Academic training.</w:t>
      </w:r>
    </w:p>
    <w:p w:rsidR="000B03FB" w:rsidRDefault="000B03FB" w:rsidP="000B03FB">
      <w:pPr>
        <w:widowControl w:val="0"/>
      </w:pPr>
      <w:r>
        <w:t> </w:t>
      </w:r>
    </w:p>
    <w:p w:rsidR="000B03FB" w:rsidRDefault="000B03FB" w:rsidP="000B03FB">
      <w:pPr>
        <w:widowControl w:val="0"/>
        <w:ind w:right="-432"/>
        <w:jc w:val="center"/>
        <w:rPr>
          <w:b/>
          <w:bCs/>
          <w:sz w:val="18"/>
          <w:szCs w:val="18"/>
        </w:rPr>
      </w:pPr>
      <w:r>
        <w:rPr>
          <w:b/>
          <w:bCs/>
          <w:sz w:val="18"/>
          <w:szCs w:val="18"/>
        </w:rPr>
        <w:t>FOR INQUIRIES PLEASE CONTACT THE</w:t>
      </w:r>
    </w:p>
    <w:p w:rsidR="000B03FB" w:rsidRDefault="000B03FB" w:rsidP="000B03FB">
      <w:pPr>
        <w:widowControl w:val="0"/>
        <w:ind w:right="-432"/>
        <w:jc w:val="center"/>
        <w:rPr>
          <w:b/>
          <w:bCs/>
          <w:sz w:val="18"/>
          <w:szCs w:val="18"/>
        </w:rPr>
      </w:pPr>
      <w:r>
        <w:rPr>
          <w:b/>
          <w:bCs/>
          <w:sz w:val="18"/>
          <w:szCs w:val="18"/>
        </w:rPr>
        <w:t> </w:t>
      </w:r>
    </w:p>
    <w:p w:rsidR="000B03FB" w:rsidRDefault="000B03FB" w:rsidP="000B03FB">
      <w:pPr>
        <w:widowControl w:val="0"/>
        <w:ind w:right="-432"/>
        <w:jc w:val="center"/>
        <w:rPr>
          <w:b/>
          <w:bCs/>
          <w:sz w:val="18"/>
          <w:szCs w:val="18"/>
        </w:rPr>
      </w:pPr>
      <w:r>
        <w:rPr>
          <w:b/>
          <w:bCs/>
          <w:sz w:val="18"/>
          <w:szCs w:val="18"/>
        </w:rPr>
        <w:t>Cultural Affairs Section</w:t>
      </w:r>
    </w:p>
    <w:p w:rsidR="000B03FB" w:rsidRDefault="000B03FB" w:rsidP="000B03FB">
      <w:pPr>
        <w:widowControl w:val="0"/>
        <w:ind w:right="-432"/>
        <w:jc w:val="center"/>
        <w:rPr>
          <w:b/>
          <w:bCs/>
          <w:sz w:val="18"/>
          <w:szCs w:val="18"/>
        </w:rPr>
      </w:pPr>
      <w:r>
        <w:rPr>
          <w:b/>
          <w:bCs/>
          <w:sz w:val="18"/>
          <w:szCs w:val="18"/>
        </w:rPr>
        <w:t xml:space="preserve">U.S. Mission </w:t>
      </w:r>
    </w:p>
    <w:p w:rsidR="000B03FB" w:rsidRDefault="000B03FB" w:rsidP="000B03FB">
      <w:pPr>
        <w:widowControl w:val="0"/>
        <w:ind w:right="-432"/>
        <w:jc w:val="center"/>
        <w:rPr>
          <w:b/>
          <w:bCs/>
          <w:sz w:val="18"/>
          <w:szCs w:val="18"/>
        </w:rPr>
      </w:pPr>
      <w:r>
        <w:rPr>
          <w:b/>
          <w:bCs/>
          <w:sz w:val="18"/>
          <w:szCs w:val="18"/>
        </w:rPr>
        <w:t xml:space="preserve"> E-Mail: kampalaexchanges@state.gov</w:t>
      </w:r>
    </w:p>
    <w:p w:rsidR="000B03FB" w:rsidRDefault="000B03FB" w:rsidP="000B03FB">
      <w:pPr>
        <w:widowControl w:val="0"/>
        <w:ind w:right="-432"/>
        <w:jc w:val="center"/>
        <w:rPr>
          <w:b/>
          <w:bCs/>
          <w:sz w:val="18"/>
          <w:szCs w:val="18"/>
        </w:rPr>
      </w:pPr>
      <w:r>
        <w:rPr>
          <w:b/>
          <w:bCs/>
          <w:sz w:val="18"/>
          <w:szCs w:val="18"/>
        </w:rPr>
        <w:tab/>
      </w:r>
    </w:p>
    <w:p w:rsidR="000B03FB" w:rsidRDefault="000B03FB" w:rsidP="000B03FB">
      <w:pPr>
        <w:widowControl w:val="0"/>
        <w:ind w:right="-432"/>
        <w:jc w:val="center"/>
        <w:rPr>
          <w:b/>
          <w:bCs/>
          <w:sz w:val="18"/>
          <w:szCs w:val="18"/>
        </w:rPr>
      </w:pPr>
      <w:r>
        <w:rPr>
          <w:b/>
          <w:bCs/>
          <w:sz w:val="18"/>
          <w:szCs w:val="18"/>
        </w:rPr>
        <w:t> </w:t>
      </w:r>
    </w:p>
    <w:p w:rsidR="000B03FB" w:rsidRDefault="000B03FB" w:rsidP="000B03FB">
      <w:pPr>
        <w:widowControl w:val="0"/>
        <w:ind w:right="-432"/>
        <w:jc w:val="center"/>
        <w:rPr>
          <w:b/>
          <w:bCs/>
          <w:sz w:val="18"/>
          <w:szCs w:val="18"/>
        </w:rPr>
      </w:pPr>
      <w:r>
        <w:rPr>
          <w:b/>
          <w:bCs/>
          <w:sz w:val="18"/>
          <w:szCs w:val="18"/>
        </w:rPr>
        <w:t> </w:t>
      </w:r>
    </w:p>
    <w:p w:rsidR="000B03FB" w:rsidRDefault="000B03FB" w:rsidP="000B03FB">
      <w:pPr>
        <w:widowControl w:val="0"/>
        <w:ind w:right="-432"/>
        <w:jc w:val="center"/>
      </w:pPr>
      <w:r>
        <w:rPr>
          <w:b/>
          <w:bCs/>
          <w:sz w:val="18"/>
          <w:szCs w:val="18"/>
        </w:rPr>
        <w:t> </w:t>
      </w:r>
    </w:p>
    <w:p w:rsidR="000B03FB" w:rsidRDefault="000B03FB" w:rsidP="000B03FB">
      <w:pPr>
        <w:widowControl w:val="0"/>
        <w:tabs>
          <w:tab w:val="left" w:pos="-31680"/>
        </w:tabs>
        <w:spacing w:line="300" w:lineRule="auto"/>
        <w:jc w:val="center"/>
        <w:rPr>
          <w:b/>
          <w:bCs/>
          <w:sz w:val="24"/>
          <w:szCs w:val="24"/>
        </w:rPr>
      </w:pPr>
      <w:r>
        <w:rPr>
          <w:b/>
          <w:bCs/>
          <w:sz w:val="24"/>
          <w:szCs w:val="24"/>
        </w:rPr>
        <w:t xml:space="preserve">APPLICATION DEADLINE IS: </w:t>
      </w:r>
    </w:p>
    <w:p w:rsidR="000B03FB" w:rsidRDefault="006F4EA7" w:rsidP="000B03FB">
      <w:pPr>
        <w:widowControl w:val="0"/>
        <w:tabs>
          <w:tab w:val="left" w:pos="-31680"/>
        </w:tabs>
        <w:spacing w:line="300" w:lineRule="auto"/>
        <w:jc w:val="center"/>
        <w:rPr>
          <w:sz w:val="24"/>
          <w:szCs w:val="24"/>
        </w:rPr>
      </w:pPr>
      <w:r>
        <w:rPr>
          <w:b/>
          <w:bCs/>
          <w:sz w:val="24"/>
          <w:szCs w:val="24"/>
        </w:rPr>
        <w:tab/>
        <w:t>April 10, 2014</w:t>
      </w:r>
    </w:p>
    <w:p w:rsidR="000B03FB" w:rsidRDefault="000B03FB" w:rsidP="000B03FB">
      <w:pPr>
        <w:widowControl w:val="0"/>
      </w:pPr>
      <w:r>
        <w:t> </w:t>
      </w:r>
    </w:p>
    <w:p w:rsidR="000B03FB" w:rsidRPr="00C8118E" w:rsidRDefault="000B03FB" w:rsidP="00C8118E"/>
    <w:sectPr w:rsidR="000B03FB" w:rsidRPr="00C8118E" w:rsidSect="004F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70"/>
    <w:rsid w:val="000B03FB"/>
    <w:rsid w:val="004F322F"/>
    <w:rsid w:val="006F4EA7"/>
    <w:rsid w:val="0070179F"/>
    <w:rsid w:val="009A6A3F"/>
    <w:rsid w:val="00C8118E"/>
    <w:rsid w:val="00D12670"/>
    <w:rsid w:val="00F21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F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03FB"/>
    <w:rPr>
      <w:color w:val="800000"/>
      <w:u w:val="single"/>
    </w:rPr>
  </w:style>
  <w:style w:type="paragraph" w:styleId="BalloonText">
    <w:name w:val="Balloon Text"/>
    <w:basedOn w:val="Normal"/>
    <w:link w:val="BalloonTextChar"/>
    <w:uiPriority w:val="99"/>
    <w:semiHidden/>
    <w:unhideWhenUsed/>
    <w:rsid w:val="000B03FB"/>
    <w:rPr>
      <w:rFonts w:ascii="Tahoma" w:hAnsi="Tahoma" w:cs="Tahoma"/>
      <w:sz w:val="16"/>
      <w:szCs w:val="16"/>
    </w:rPr>
  </w:style>
  <w:style w:type="character" w:customStyle="1" w:styleId="BalloonTextChar">
    <w:name w:val="Balloon Text Char"/>
    <w:basedOn w:val="DefaultParagraphFont"/>
    <w:link w:val="BalloonText"/>
    <w:uiPriority w:val="99"/>
    <w:semiHidden/>
    <w:rsid w:val="000B03FB"/>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F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03FB"/>
    <w:rPr>
      <w:color w:val="800000"/>
      <w:u w:val="single"/>
    </w:rPr>
  </w:style>
  <w:style w:type="paragraph" w:styleId="BalloonText">
    <w:name w:val="Balloon Text"/>
    <w:basedOn w:val="Normal"/>
    <w:link w:val="BalloonTextChar"/>
    <w:uiPriority w:val="99"/>
    <w:semiHidden/>
    <w:unhideWhenUsed/>
    <w:rsid w:val="000B03FB"/>
    <w:rPr>
      <w:rFonts w:ascii="Tahoma" w:hAnsi="Tahoma" w:cs="Tahoma"/>
      <w:sz w:val="16"/>
      <w:szCs w:val="16"/>
    </w:rPr>
  </w:style>
  <w:style w:type="character" w:customStyle="1" w:styleId="BalloonTextChar">
    <w:name w:val="Balloon Text Char"/>
    <w:basedOn w:val="DefaultParagraphFont"/>
    <w:link w:val="BalloonText"/>
    <w:uiPriority w:val="99"/>
    <w:semiHidden/>
    <w:rsid w:val="000B03FB"/>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14663">
      <w:bodyDiv w:val="1"/>
      <w:marLeft w:val="0"/>
      <w:marRight w:val="0"/>
      <w:marTop w:val="0"/>
      <w:marBottom w:val="0"/>
      <w:divBdr>
        <w:top w:val="none" w:sz="0" w:space="0" w:color="auto"/>
        <w:left w:val="none" w:sz="0" w:space="0" w:color="auto"/>
        <w:bottom w:val="none" w:sz="0" w:space="0" w:color="auto"/>
        <w:right w:val="none" w:sz="0" w:space="0" w:color="auto"/>
      </w:divBdr>
    </w:div>
    <w:div w:id="722755598">
      <w:bodyDiv w:val="1"/>
      <w:marLeft w:val="0"/>
      <w:marRight w:val="0"/>
      <w:marTop w:val="0"/>
      <w:marBottom w:val="0"/>
      <w:divBdr>
        <w:top w:val="none" w:sz="0" w:space="0" w:color="auto"/>
        <w:left w:val="none" w:sz="0" w:space="0" w:color="auto"/>
        <w:bottom w:val="none" w:sz="0" w:space="0" w:color="auto"/>
        <w:right w:val="none" w:sz="0" w:space="0" w:color="auto"/>
      </w:divBdr>
    </w:div>
    <w:div w:id="1128012568">
      <w:bodyDiv w:val="1"/>
      <w:marLeft w:val="0"/>
      <w:marRight w:val="0"/>
      <w:marTop w:val="0"/>
      <w:marBottom w:val="0"/>
      <w:divBdr>
        <w:top w:val="none" w:sz="0" w:space="0" w:color="auto"/>
        <w:left w:val="none" w:sz="0" w:space="0" w:color="auto"/>
        <w:bottom w:val="none" w:sz="0" w:space="0" w:color="auto"/>
        <w:right w:val="none" w:sz="0" w:space="0" w:color="auto"/>
      </w:divBdr>
    </w:div>
    <w:div w:id="20686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reign.fulbrightonline.org/fulbrightpage.html"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NGALOMBIDN</dc:creator>
  <cp:lastModifiedBy>Ngalombi, Dorothy N</cp:lastModifiedBy>
  <cp:revision>4</cp:revision>
  <dcterms:created xsi:type="dcterms:W3CDTF">2014-01-15T12:19:00Z</dcterms:created>
  <dcterms:modified xsi:type="dcterms:W3CDTF">2014-01-21T07:15:00Z</dcterms:modified>
</cp:coreProperties>
</file>